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18"/>
        <w:gridCol w:w="979"/>
        <w:gridCol w:w="683"/>
        <w:gridCol w:w="1633"/>
        <w:gridCol w:w="1633"/>
        <w:gridCol w:w="1061"/>
        <w:gridCol w:w="950"/>
        <w:gridCol w:w="795"/>
      </w:tblGrid>
      <w:tr w:rsidR="00B1727D" w:rsidTr="005A5248">
        <w:trPr>
          <w:trHeight w:val="291"/>
          <w:tblHeader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27D" w:rsidRDefault="00B1727D" w:rsidP="005A5248">
            <w:pPr>
              <w:spacing w:after="0"/>
              <w:rPr>
                <w:b/>
              </w:rPr>
            </w:pPr>
            <w:r>
              <w:rPr>
                <w:b/>
              </w:rPr>
              <w:t xml:space="preserve">Реализация САЕ в отчетном </w:t>
            </w:r>
            <w:proofErr w:type="gramStart"/>
            <w:r>
              <w:rPr>
                <w:b/>
              </w:rPr>
              <w:t>периоде</w:t>
            </w:r>
            <w:proofErr w:type="gramEnd"/>
          </w:p>
          <w:p w:rsidR="00B1727D" w:rsidRDefault="00B1727D" w:rsidP="00B1727D">
            <w:pPr>
              <w:spacing w:after="0"/>
              <w:jc w:val="right"/>
            </w:pPr>
            <w:r>
              <w:rPr>
                <w:b/>
              </w:rPr>
              <w:t>Таблица 4</w:t>
            </w:r>
          </w:p>
        </w:tc>
      </w:tr>
      <w:tr w:rsidR="00B1727D" w:rsidTr="005A5248">
        <w:trPr>
          <w:trHeight w:val="291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Результат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Мероприятия «дорожной карты»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Пояснения</w:t>
            </w:r>
          </w:p>
        </w:tc>
      </w:tr>
      <w:tr w:rsidR="00B1727D" w:rsidTr="005A5248">
        <w:trPr>
          <w:tblHeader/>
        </w:trPr>
        <w:tc>
          <w:tcPr>
            <w:tcW w:w="0" w:type="auto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</w:tr>
      <w:tr w:rsidR="00B1727D" w:rsidTr="005A5248">
        <w:trPr>
          <w:tblHeader/>
        </w:trPr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09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9"/>
            <w:vMerge w:val="restart"/>
          </w:tcPr>
          <w:p w:rsidR="00B1727D" w:rsidRDefault="00B1727D" w:rsidP="005A5248">
            <w:pPr>
              <w:spacing w:after="0"/>
            </w:pPr>
            <w:r>
              <w:t>1.  Общеуниверситетские мероприятия по формированию и развитию САЕ</w:t>
            </w: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Определение перечня САЕ и требований к результатам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15 мая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15 мая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Описание САЕ, паспорта их деятельности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Описание САЕ, паспорта их деятельности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Д.В. Сухушин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Назначение научных руководителей и исполнительных директоров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06 июня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06 июня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назначении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назначении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Д.В. Сухушин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Разработка и утверждение положения, регламентов и др. локальных актов, регулирующих деятельность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1 сентября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1 сентября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Положение, регламенты и др. локальные акты, регулирующие деятельность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Положение, регламенты и др. локальные акты, регулирующие деятельность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Исполнительные директора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Формирование структурных подразделений/ консорциумов подразделен</w:t>
            </w:r>
            <w:r>
              <w:lastRenderedPageBreak/>
              <w:t>ий, образующих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до 15 июля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15 июля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 структурных единиц/ консорциумов подразделений, образующих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 структурных единиц/ консорциумов подразделений, образующих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Д.В. Сухушин, исполнительные директора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1.5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Определение основных показателей эффективности каждой САЕ и их плановых значений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15 июля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15 июля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Перечень основных показателей эффективности каждой САЕ и их плановые значения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Перечень основных показателей эффективности каждой САЕ и их плановые значения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Д.В. Сухушин, О.Н. Ильченко, Т.С. Краснова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Утверждение системы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1 сентября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1 сентября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План ФХД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План ФХД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Д.В. Сухушин, О.Г. Васильева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Определение и утверждение внутренней структуры каждой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 сентября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 сентября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Утвержденные организационные структуры каждой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Утвержденные организационные структуры каждой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Исполнительные директора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Разработка и утверждение 3-летних планов развития образовательной и научно-исследовательской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 декабря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до 1 декабря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3-летние планы развития образовательной и научно-исследовательской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3-летние планы развития образовательной и научно-исследовательской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В.В. Дёмин,  И.В. Ивонин, исполнительные директора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Рассмотрение Ученым </w:t>
            </w:r>
            <w:r>
              <w:lastRenderedPageBreak/>
              <w:t>советом и Наблюдательным советом 3-летних планов развития образовательной и научно-исследовательской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до 31 декабря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до 31 </w:t>
            </w:r>
            <w:r>
              <w:lastRenderedPageBreak/>
              <w:t>декабря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Протоколы заседаний НС </w:t>
            </w:r>
            <w:r>
              <w:lastRenderedPageBreak/>
              <w:t xml:space="preserve">и УС с решением об утверждении/корректировке  3-летних планов развития образовательной и научно-исследовательской деятельности САЕ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Протоколы заседаний НС </w:t>
            </w:r>
            <w:r>
              <w:lastRenderedPageBreak/>
              <w:t xml:space="preserve">и УС с решением об утверждении/корректировке  3-летних планов развития образовательной и научно-исследовательской деятельности САЕ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Е.В. Бельская</w:t>
            </w:r>
            <w:r>
              <w:lastRenderedPageBreak/>
              <w:t xml:space="preserve">, Н.А. Сазонтова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1.10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Формирование предпринимательства и инновационной активности в молодежной среде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доли студентов, выбравших </w:t>
            </w:r>
            <w:proofErr w:type="spellStart"/>
            <w:r>
              <w:t>инновационно</w:t>
            </w:r>
            <w:proofErr w:type="spellEnd"/>
            <w:r>
              <w:t>-предпринимательский трек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доли студентов, выбравших </w:t>
            </w:r>
            <w:proofErr w:type="spellStart"/>
            <w:r>
              <w:t>инновационно</w:t>
            </w:r>
            <w:proofErr w:type="spellEnd"/>
            <w:r>
              <w:t>-предпринимательский трек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В.В. Маковеева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1.11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Развитие системы </w:t>
            </w:r>
            <w:proofErr w:type="gramStart"/>
            <w:r>
              <w:t>непрерывного</w:t>
            </w:r>
            <w:proofErr w:type="gramEnd"/>
            <w:r>
              <w:t xml:space="preserve"> образования взрослых с ориентацией на глобально - конкурентоспособные компании и университеты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Октябрь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Октябрь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слушателей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слушателей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Г.В. Можаева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1.</w:t>
            </w:r>
            <w:r>
              <w:lastRenderedPageBreak/>
              <w:t>12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Организаци</w:t>
            </w:r>
            <w:r>
              <w:lastRenderedPageBreak/>
              <w:t xml:space="preserve">я и проведение мероприятий информационного характера о работе системы САЕ и каждой САЕ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</w:t>
            </w:r>
            <w:r>
              <w:lastRenderedPageBreak/>
              <w:t>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Повышение </w:t>
            </w:r>
            <w:r>
              <w:lastRenderedPageBreak/>
              <w:t>информированности и уровня вовлеченности сотрудников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Повышение </w:t>
            </w:r>
            <w:r>
              <w:lastRenderedPageBreak/>
              <w:t>информированности и уровня вовлеченности сотрудников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Ю.А. </w:t>
            </w:r>
            <w:proofErr w:type="spellStart"/>
            <w:r>
              <w:lastRenderedPageBreak/>
              <w:t>Эмер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М 5.5.1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1.13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Рассмотрение результатов выполнения календарного плана САЕ по итогам года на заседании Наблюдательного совета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Протоколы заседаний НС и с решением о рассмотрении календарного плана САЕ по итогам года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Протоколы заседаний НС и с решением о рассмотрении календарного плана САЕ по итогам года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Исполнительные директора САЕ, Е.В. Бельская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 w:val="restart"/>
          </w:tcPr>
          <w:p w:rsidR="00B1727D" w:rsidRDefault="00B1727D" w:rsidP="005A5248">
            <w:pPr>
              <w:spacing w:after="0"/>
              <w:jc w:val="center"/>
            </w:pPr>
            <w:r>
              <w:t>2. Формирование и развитие САЕ TSSW: Сибирский институт будущего</w:t>
            </w: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>Цель САЕ: Вовлечение мира в развитие Сибири, определение роли Сибири в глобальном разделении труда при переходе к новому технологическому укладу. Повышение уровня узнаваемости и укрепление международной академической репутации ТГУ.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Задачи САЕ:1. Трансформация модели образования и создание нового стандарта профессионального и </w:t>
            </w:r>
            <w:proofErr w:type="spellStart"/>
            <w:r>
              <w:t>трансфессионального</w:t>
            </w:r>
            <w:proofErr w:type="spellEnd"/>
            <w:r>
              <w:t xml:space="preserve"> образования, построенного на уникальных системных междисциплинарных пакетах знаний. 2. Разработка и реализация исследовательских программ, направленных на решение проблемы «повышение качества жизни человека, проживающего на территории с особой экосистемой, экономическим ландшафтом и социокультурной средой» на основе ме</w:t>
            </w:r>
            <w:proofErr w:type="gramStart"/>
            <w:r>
              <w:t>ж-</w:t>
            </w:r>
            <w:proofErr w:type="gramEnd"/>
            <w:r>
              <w:t xml:space="preserve"> и </w:t>
            </w:r>
            <w:proofErr w:type="spellStart"/>
            <w:r>
              <w:t>трансдисциплинарного</w:t>
            </w:r>
            <w:proofErr w:type="spellEnd"/>
            <w:r>
              <w:t xml:space="preserve"> подхода с использованием в качестве основных инструментов «природную  мегаструктуру», «4М-концепцию  организации и проведения комплексных исследований» (http://en.science.tsu.ru/centers/research-into-biota-climate-and-landscape) 3. Создание в ТГУ на базе Центра TSSW исследовательского и культурно-образовательного </w:t>
            </w:r>
            <w:proofErr w:type="spellStart"/>
            <w:r>
              <w:t>хаба</w:t>
            </w:r>
            <w:proofErr w:type="spellEnd"/>
            <w:r>
              <w:t>, вовлекающего мировое и российское (сибирское) научное сообщество в изучение Сибирского региона.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Позиции в отраслевых (предметных) рейтингах по итогам формирования и развития САЕ: 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2020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Agriculture</w:t>
            </w:r>
            <w:proofErr w:type="spellEnd"/>
            <w:r>
              <w:t xml:space="preserve"> &amp; </w:t>
            </w:r>
            <w:proofErr w:type="spellStart"/>
            <w:r>
              <w:t>forestry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Earth</w:t>
            </w:r>
            <w:proofErr w:type="spellEnd"/>
            <w:r>
              <w:t xml:space="preserve"> &amp; </w:t>
            </w:r>
            <w:proofErr w:type="spellStart"/>
            <w:r>
              <w:t>Marine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Позиция в предме</w:t>
            </w:r>
            <w:r>
              <w:lastRenderedPageBreak/>
              <w:t xml:space="preserve">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Geography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Art</w:t>
            </w:r>
            <w:proofErr w:type="spellEnd"/>
            <w:r>
              <w:t xml:space="preserve"> &amp; </w:t>
            </w:r>
            <w:proofErr w:type="spellStart"/>
            <w:r>
              <w:t>Design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Performing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History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Langua</w:t>
            </w:r>
            <w:r>
              <w:lastRenderedPageBreak/>
              <w:t>ge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lastRenderedPageBreak/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201-250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2.1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единого информационного ресурса о Сибири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Запуск единого информационного ресурса о Сибири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Запуск единого информационного ресурса о Сибири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Орлов С.А. Борило Л.П., </w:t>
            </w:r>
            <w:proofErr w:type="spellStart"/>
            <w:r>
              <w:t>Каллаган</w:t>
            </w:r>
            <w:proofErr w:type="spellEnd"/>
            <w:r>
              <w:t xml:space="preserve"> Т.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5.5.1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портала САЕ Центра TSSW с ежемесячным обновлением контента на русском, английском и  языках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Май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Май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Открытие портала САЕ Центра TSSW с ежемесячным обновлением контента на русском, английском и  языках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Открытие портала САЕ Центра TSSW с ежемесячным обновлением контента на русском, английском и  языках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Мясников И.Ю.,  </w:t>
            </w:r>
            <w:proofErr w:type="spellStart"/>
            <w:r>
              <w:t>Эмер</w:t>
            </w:r>
            <w:proofErr w:type="spellEnd"/>
            <w:r>
              <w:t xml:space="preserve"> Ю.А., Борило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5.5.1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Открытие и модернизация магистерских программ, реализуемых на русском/ английском языках, включая полностью </w:t>
            </w:r>
            <w:proofErr w:type="gramStart"/>
            <w:r>
              <w:t>реализуемые</w:t>
            </w:r>
            <w:proofErr w:type="gramEnd"/>
            <w:r>
              <w:t xml:space="preserve"> на английском языке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</w:t>
            </w:r>
            <w:proofErr w:type="gramStart"/>
            <w:r>
              <w:t>магистерских</w:t>
            </w:r>
            <w:proofErr w:type="gramEnd"/>
            <w:r>
              <w:t xml:space="preserve"> программ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</w:t>
            </w:r>
            <w:proofErr w:type="gramStart"/>
            <w:r>
              <w:t>магистерских</w:t>
            </w:r>
            <w:proofErr w:type="gramEnd"/>
            <w:r>
              <w:t xml:space="preserve"> программ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Мирошников С.Н., Брель Е.Ю.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Внедрение образовательных программ и инновацион</w:t>
            </w:r>
            <w:r>
              <w:lastRenderedPageBreak/>
              <w:t xml:space="preserve">ных технологий для повышения качества языковых компетенций НПР и обучающихся, включая обучение русскому языку как иностранному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Привлечение  НПР и обучающихся в </w:t>
            </w:r>
            <w:proofErr w:type="gramStart"/>
            <w:r>
              <w:t>целях</w:t>
            </w:r>
            <w:proofErr w:type="gramEnd"/>
            <w:r>
              <w:t xml:space="preserve"> внедрения </w:t>
            </w:r>
            <w:r>
              <w:lastRenderedPageBreak/>
              <w:t>образовательных программ и инновационных технологий для повышения качества языковых компетенций НПР и обучающихся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Привлечение  НПР и обучающихся в </w:t>
            </w:r>
            <w:proofErr w:type="gramStart"/>
            <w:r>
              <w:t>целях</w:t>
            </w:r>
            <w:proofErr w:type="gramEnd"/>
            <w:r>
              <w:t xml:space="preserve"> внедрения </w:t>
            </w:r>
            <w:r>
              <w:lastRenderedPageBreak/>
              <w:t>образовательных программ и инновационных технологий для повышения качества языковых компетенций НПР и обучающихся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proofErr w:type="spellStart"/>
            <w:r>
              <w:lastRenderedPageBreak/>
              <w:t>Демешкина</w:t>
            </w:r>
            <w:proofErr w:type="spellEnd"/>
            <w:r>
              <w:t xml:space="preserve"> Т.А.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2.5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Повышение качества образования посредством  международной и профессиональной аккредитации образовательных программ и интеллектуальных продуктов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аккредитованных образовательных программ и интеллектуальных продуктов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аккредитованных образовательных программ и интеллектуальных продуктов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Мирошников С.Н. Руденко Т.В.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Повышение качества образования путем развития электронного обучения и </w:t>
            </w:r>
            <w:proofErr w:type="gramStart"/>
            <w:r>
              <w:lastRenderedPageBreak/>
              <w:t>дистанционных</w:t>
            </w:r>
            <w:proofErr w:type="gramEnd"/>
            <w:r>
              <w:t xml:space="preserve"> технологий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количества курсов ЭО и дистанционных технологий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количества курсов ЭО и дистанционных технологий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Можаева Г.В., Борило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2.7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Кочева Е.Э. Дмитриева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3.3.3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Формирование парка исследовательских проектов на конкурсной основе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Утвержденный парк исследовательских проектов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Утвержденный парк исследовательских проектов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Борило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Создание/модернизация лабораторий  под руководством ведущих иностранных и российских ученых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создании/модернизации лабораторий под руководством ведущих иностранных и российских ученых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создании/модернизации лабораторий под руководством ведущих иностранных и российских ученых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Борило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2.10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Участие/лидерство в крупных международных сетевых </w:t>
            </w:r>
            <w:proofErr w:type="gramStart"/>
            <w:r>
              <w:t>проектах</w:t>
            </w:r>
            <w:proofErr w:type="gramEnd"/>
            <w:r>
              <w:t xml:space="preserve">, научных сообществах и </w:t>
            </w:r>
            <w:r>
              <w:lastRenderedPageBreak/>
              <w:t>коллаборациях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>
              <w:lastRenderedPageBreak/>
              <w:t>коллабораций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>
              <w:lastRenderedPageBreak/>
              <w:t>коллабораций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proofErr w:type="spellStart"/>
            <w:r>
              <w:lastRenderedPageBreak/>
              <w:t>Калаган</w:t>
            </w:r>
            <w:proofErr w:type="spellEnd"/>
            <w:r>
              <w:t xml:space="preserve"> Т. Борило Л.П.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2.11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Продвижение специализированных научных журналов ТГУ в мировые базы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количества специализированных научных журналов ТГУ в мировых базах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Увеличение количества специализированных научных журналов ТГУ в мировых базах данных </w:t>
            </w:r>
            <w:proofErr w:type="spellStart"/>
            <w:r>
              <w:t>Web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и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Борило Л.П. </w:t>
            </w:r>
            <w:proofErr w:type="spellStart"/>
            <w:r>
              <w:t>Катунин</w:t>
            </w:r>
            <w:proofErr w:type="spellEnd"/>
            <w:r>
              <w:t xml:space="preserve">  Д.А.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 w:val="restart"/>
          </w:tcPr>
          <w:p w:rsidR="00B1727D" w:rsidRDefault="00B1727D" w:rsidP="005A5248">
            <w:pPr>
              <w:spacing w:after="0"/>
              <w:jc w:val="center"/>
            </w:pPr>
            <w:r>
              <w:t>3. Формирование и развитие САЕ «Институт биомедицины»</w:t>
            </w: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Цель САЕ: формирование </w:t>
            </w:r>
            <w:proofErr w:type="spellStart"/>
            <w:r>
              <w:t>международнопризнанного</w:t>
            </w:r>
            <w:proofErr w:type="spellEnd"/>
            <w:r>
              <w:t xml:space="preserve"> центра образования, исследований и инноваций в области биомедицинских технологий, обеспечивающих повышение качества жизни и активного долголетия человека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>Задачи САЕ:1. развитие трансляционной биомедицины (за счет консорциума с ведущими научно-исследовательскими и клиническими учреждениями), подготовка кадров и организация эффективного трансфера технологий в клиническую практику.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Позиции в отраслевых (предметных) рейтингах по итогам формирования и развития САЕ: 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2020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Medicine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351-400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301-350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</w:t>
            </w:r>
            <w:r>
              <w:lastRenderedPageBreak/>
              <w:t>е</w:t>
            </w:r>
            <w:proofErr w:type="gramEnd"/>
            <w:r>
              <w:t xml:space="preserve"> QS «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351-400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301-350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3.1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Разработка и модернизация ООП </w:t>
            </w:r>
            <w:proofErr w:type="gramStart"/>
            <w:r>
              <w:t>магистерских</w:t>
            </w:r>
            <w:proofErr w:type="gramEnd"/>
            <w:r>
              <w:t xml:space="preserve">  и аспирантских программ по научным направлениям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</w:t>
            </w:r>
            <w:proofErr w:type="gramStart"/>
            <w:r>
              <w:t>магистерских</w:t>
            </w:r>
            <w:proofErr w:type="gramEnd"/>
            <w:r>
              <w:t xml:space="preserve"> и аспирантских программ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</w:t>
            </w:r>
            <w:proofErr w:type="gramStart"/>
            <w:r>
              <w:t>магистерских</w:t>
            </w:r>
            <w:proofErr w:type="gramEnd"/>
            <w:r>
              <w:t xml:space="preserve"> и аспирантских программ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Черепанов В.Н., Кистенев Ю.В., Демин В.В., Замятин А.В., Касаткина Т.В., </w:t>
            </w:r>
            <w:proofErr w:type="spellStart"/>
            <w:r>
              <w:t>Курзина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центра биомедицинской визуализации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июнь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июнь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 о создании центра </w:t>
            </w:r>
            <w:proofErr w:type="spellStart"/>
            <w:r>
              <w:t>биоинформатики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 о создании центра </w:t>
            </w:r>
            <w:proofErr w:type="spellStart"/>
            <w:r>
              <w:t>биоинформатики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Кистенев Ю.В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Консорциума «Центр трансляционной медицины»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 о создании Консорциума «Центр трансляционной медицины»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 о создании Консорциума «Центр трансляционной медицины»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Кистенев Ю.В.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Межведомственного сетевого центра «Объемная реконструкция костных дефектов»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 о создании Межведомственного сетевого центра «Объемная реконструкция костных дефектов»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 о создании Межведомственного сетевого центра «Объемная реконструкция костных дефектов»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Кульков С.Н.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3.</w:t>
            </w:r>
            <w:r>
              <w:lastRenderedPageBreak/>
              <w:t>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Проектная и </w:t>
            </w:r>
            <w:r>
              <w:lastRenderedPageBreak/>
              <w:t>системная интеграция с организациями медицинского профиля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</w:t>
            </w:r>
            <w:r>
              <w:lastRenderedPageBreak/>
              <w:t>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Соглашения о </w:t>
            </w:r>
            <w:r>
              <w:lastRenderedPageBreak/>
              <w:t>сотрудничестве с организациями медицинского профиля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Соглашения о </w:t>
            </w:r>
            <w:r>
              <w:lastRenderedPageBreak/>
              <w:t>сотрудничестве с организациями медицинского профиля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Кистене</w:t>
            </w:r>
            <w:r>
              <w:lastRenderedPageBreak/>
              <w:t>в Ю.В.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М 4.1.5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 w:val="restart"/>
          </w:tcPr>
          <w:p w:rsidR="00B1727D" w:rsidRDefault="00B1727D" w:rsidP="005A5248">
            <w:pPr>
              <w:spacing w:after="0"/>
              <w:jc w:val="center"/>
            </w:pPr>
            <w:r>
              <w:lastRenderedPageBreak/>
              <w:t>4. Формирование и развитие САЕ «Институт человека цифровой эпохи»</w:t>
            </w: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>Цель САЕ: исследовательское, кадровое и технологическое обеспечение процессов трансформации человека и общества при переходе к новому промышленному укладу. ТГУ фокусируется на изучении качества жизни человека и общества в связи с новой промышленной революцией, которая меняет экономический ландшафт (экономика по требованию), социальную структуру общества (</w:t>
            </w:r>
            <w:proofErr w:type="spellStart"/>
            <w:r>
              <w:t>цифровизация</w:t>
            </w:r>
            <w:proofErr w:type="spellEnd"/>
            <w:r>
              <w:t>, расслоение и неравенство), качество жизни людей в масштабах планеты.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proofErr w:type="gramStart"/>
            <w:r>
              <w:t>Задачи САЕ:. ˗ Сформировать междисциплинарный научно-образовательный центр с лидерскими позициями в мире в области инновационных методов анализа данных и машинного обучения, изучения влияния социальных взаимоотношений между людьми на принятие рациональных экономических и общественных решений.</w:t>
            </w:r>
            <w:proofErr w:type="gramEnd"/>
            <w:r>
              <w:t xml:space="preserve"> ˗ На основе исследования современных социальных, психологических, нейрофизиологических и генетических факторов успешности в STEAM (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,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) разработать и внедрить в образование ряд технологий, развивающих одаренность и повышающих успешность </w:t>
            </w:r>
            <w:proofErr w:type="gramStart"/>
            <w:r>
              <w:t>обучения по</w:t>
            </w:r>
            <w:proofErr w:type="gramEnd"/>
            <w:r>
              <w:t xml:space="preserve"> данным направлениям. ˗ </w:t>
            </w:r>
            <w:proofErr w:type="gramStart"/>
            <w:r>
              <w:t>Сформировать международную коллаборацию (более 20 ведущих международных научно-образовательных организаций) с лидерством ТГУ в области междисциплинарных исследований биологических, психологических и социальных факторов раннего детского развития; занять лидерскую позицию в 2-х международных коллаборациях.</w:t>
            </w:r>
            <w:proofErr w:type="gramEnd"/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Позиции в отраслевых (предметных) рейтингах по итогам формирования и развития САЕ: 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2020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proofErr w:type="gramStart"/>
            <w:r>
              <w:t>рейтинге</w:t>
            </w:r>
            <w:proofErr w:type="gramEnd"/>
            <w:r w:rsidRPr="006700CD">
              <w:rPr>
                <w:lang w:val="en-US"/>
              </w:rPr>
              <w:t xml:space="preserve"> QS </w:t>
            </w:r>
            <w:r>
              <w:rPr>
                <w:lang w:val="en-US"/>
              </w:rPr>
              <w:lastRenderedPageBreak/>
              <w:t>«</w:t>
            </w:r>
            <w:r w:rsidRPr="006700CD">
              <w:rPr>
                <w:lang w:val="en-US"/>
              </w:rPr>
              <w:t>Social Policy &amp; Administration</w:t>
            </w:r>
            <w:r>
              <w:rPr>
                <w:lang w:val="en-US"/>
              </w:rPr>
              <w:t>»</w:t>
            </w: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Psychology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proofErr w:type="gramStart"/>
            <w:r>
              <w:t>рейтинге</w:t>
            </w:r>
            <w:proofErr w:type="gramEnd"/>
            <w:r w:rsidRPr="006700CD">
              <w:rPr>
                <w:lang w:val="en-US"/>
              </w:rPr>
              <w:t xml:space="preserve"> QS </w:t>
            </w:r>
            <w:r>
              <w:rPr>
                <w:lang w:val="en-US"/>
              </w:rPr>
              <w:t>«</w:t>
            </w:r>
            <w:r w:rsidRPr="006700CD">
              <w:rPr>
                <w:lang w:val="en-US"/>
              </w:rPr>
              <w:t>Politics &amp; International studies</w:t>
            </w:r>
            <w:r>
              <w:rPr>
                <w:lang w:val="en-US"/>
              </w:rPr>
              <w:t>»</w:t>
            </w:r>
            <w:r w:rsidRPr="006700CD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Philosophy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Educat</w:t>
            </w:r>
            <w:r>
              <w:lastRenderedPageBreak/>
              <w:t>ion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201-250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rPr>
                <w:lang w:val="en-US"/>
              </w:rPr>
            </w:pPr>
            <w:r>
              <w:t>Позиция</w:t>
            </w:r>
            <w:r w:rsidRPr="006700CD">
              <w:rPr>
                <w:lang w:val="en-US"/>
              </w:rPr>
              <w:t xml:space="preserve"> </w:t>
            </w:r>
            <w:r>
              <w:t>в</w:t>
            </w:r>
            <w:r w:rsidRPr="006700CD">
              <w:rPr>
                <w:lang w:val="en-US"/>
              </w:rPr>
              <w:t xml:space="preserve"> </w:t>
            </w:r>
            <w:r>
              <w:t>предметном</w:t>
            </w:r>
            <w:r w:rsidRPr="006700CD">
              <w:rPr>
                <w:lang w:val="en-US"/>
              </w:rPr>
              <w:t xml:space="preserve"> </w:t>
            </w:r>
            <w:proofErr w:type="gramStart"/>
            <w:r>
              <w:t>рейтинге</w:t>
            </w:r>
            <w:proofErr w:type="gramEnd"/>
            <w:r w:rsidRPr="006700CD">
              <w:rPr>
                <w:lang w:val="en-US"/>
              </w:rPr>
              <w:t xml:space="preserve"> QS </w:t>
            </w:r>
            <w:r>
              <w:rPr>
                <w:lang w:val="en-US"/>
              </w:rPr>
              <w:t>«</w:t>
            </w:r>
            <w:r w:rsidRPr="006700CD">
              <w:rPr>
                <w:lang w:val="en-US"/>
              </w:rPr>
              <w:t>Computer science and information systems</w:t>
            </w:r>
            <w:r>
              <w:rPr>
                <w:lang w:val="en-US"/>
              </w:rPr>
              <w:t>»</w:t>
            </w: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Pr="006700CD" w:rsidRDefault="00B1727D" w:rsidP="005A5248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451-500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401-450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351-400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 «</w:t>
            </w:r>
            <w:proofErr w:type="spellStart"/>
            <w:r>
              <w:t>Mathematics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351-400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301-350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4.1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Создание междисциплинарных исследовательских центров /»зеркальных» лабораторий с университетами-партнерами (ТОП-300) и предприятиями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 междисциплинарных исследовательских центров /»зеркальных» лабораторий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создании междисциплинарных исследовательских центров /»зеркальных» лабораторий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Сухушин Д.В.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4.2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Открытие и модернизация совместных ООП, включая </w:t>
            </w:r>
            <w:proofErr w:type="spellStart"/>
            <w:r>
              <w:t>PhD</w:t>
            </w:r>
            <w:proofErr w:type="spellEnd"/>
            <w:r>
              <w:t>, на русском/английском языках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совместных ООП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совместных ООП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Можаева Г.В.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4.3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Формирование парка исследовательских проектов на конкурсной основе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Утвержденный парк исследовательских проектов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Утвержденный парк исследовательских проектов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Борило Л.П., Можаева Г.В.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4.2.4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4.4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Привлечение ведущих зарубежных и отечественных специалистов мирового класса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ведущих зарубежных и отечественных специалистов мирового класса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ведущих зарубежных и отечественных специалистов мирового класса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proofErr w:type="spellStart"/>
            <w:r>
              <w:t>Ковас</w:t>
            </w:r>
            <w:proofErr w:type="spellEnd"/>
            <w:r>
              <w:t xml:space="preserve"> Ю., Можаева Г.В.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2.2.1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4.5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Дмитриева Л.П., </w:t>
            </w:r>
            <w:proofErr w:type="spellStart"/>
            <w:r>
              <w:t>Бабанская</w:t>
            </w:r>
            <w:proofErr w:type="spellEnd"/>
            <w:r>
              <w:t xml:space="preserve"> О.М.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3.3.3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4.5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Реализация прикладных научных и </w:t>
            </w:r>
            <w:r>
              <w:lastRenderedPageBreak/>
              <w:t xml:space="preserve">консалтинговых проектов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Утвержденный план реализации </w:t>
            </w:r>
            <w:r>
              <w:lastRenderedPageBreak/>
              <w:t>прикладных научных и консалтинговых проектов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Утвержденный план реализации </w:t>
            </w:r>
            <w:r>
              <w:lastRenderedPageBreak/>
              <w:t>прикладных научных и консалтинговых проектов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Резанова З.И.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4.2.5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 w:val="restart"/>
          </w:tcPr>
          <w:p w:rsidR="00B1727D" w:rsidRDefault="00B1727D" w:rsidP="005A5248">
            <w:pPr>
              <w:spacing w:after="0"/>
              <w:jc w:val="center"/>
            </w:pPr>
            <w:r>
              <w:lastRenderedPageBreak/>
              <w:t>5. Формирование и развитие САЕ Институт «Умные материалы и технологии» (SMTI)</w:t>
            </w: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>Цель САЕ: формирование на базе ТГУ научно-образовательного центра мирового уровня, обеспечивающего подготовку конкурентоспособных специалистов, проведение научных исследований в области прогнозирования на нан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мезоуровне</w:t>
            </w:r>
            <w:proofErr w:type="spellEnd"/>
            <w:r>
              <w:t xml:space="preserve"> физико-химических свойств новых материалов и технологических процессов на основе математического и компьютерного моделирования с последующим переходом к полному циклу исследования, производства и внедрения «умных» материалов и технологий.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>Задачи САЕ: создание единой научно-образовательной среды на основе многоуровневой системы подготовки кадров с целью ускорения цикла создания новых материалов и технологий, удешевления конечных продуктов; проведение фундаментальных и прикладных исследований по разработке новых «умных» материалов и разработка промышленных технологий создания конструкций на их основе с привлечением ведущих отечественных и зарубежных специалистов; разработка методов многоуровневого математического моделирования и создание новых высокоэффективных материалов, установок и систем на их основе с использованием аддитивных технологий для высокотехнологичных отраслей промышленности и новых рынков; повышение образовательной и научно-исследовательской конкурентоспособности Университета на мировом уровне</w:t>
            </w:r>
          </w:p>
        </w:tc>
      </w:tr>
      <w:tr w:rsidR="00B1727D" w:rsidTr="005A5248">
        <w:trPr>
          <w:trHeight w:val="291"/>
        </w:trPr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  <w:gridSpan w:val="7"/>
            <w:vMerge w:val="restart"/>
          </w:tcPr>
          <w:p w:rsidR="00B1727D" w:rsidRDefault="00B1727D" w:rsidP="005A5248">
            <w:pPr>
              <w:spacing w:after="0"/>
            </w:pPr>
            <w:r>
              <w:t xml:space="preserve">Позиции в отраслевых (предметных) рейтингах по итогам формирования и развития САЕ: 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2020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rPr>
                <w:b/>
              </w:rPr>
              <w:t>план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Позици</w:t>
            </w:r>
            <w:r>
              <w:lastRenderedPageBreak/>
              <w:t xml:space="preserve">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</w:t>
            </w:r>
            <w:r>
              <w:lastRenderedPageBreak/>
              <w:t>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51-100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Chemistry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351-400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301-350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201-250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Позиция в предметном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</w:tr>
      <w:tr w:rsidR="00B1727D" w:rsidTr="005A5248">
        <w:tc>
          <w:tcPr>
            <w:tcW w:w="0" w:type="auto"/>
            <w:gridSpan w:val="2"/>
            <w:vMerge/>
          </w:tcPr>
          <w:p w:rsidR="00B1727D" w:rsidRDefault="00B1727D" w:rsidP="005A5248">
            <w:pPr>
              <w:spacing w:after="0"/>
              <w:jc w:val="center"/>
            </w:pP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Позиция в предме</w:t>
            </w:r>
            <w:r>
              <w:lastRenderedPageBreak/>
              <w:t xml:space="preserve">тном </w:t>
            </w:r>
            <w:proofErr w:type="gramStart"/>
            <w:r>
              <w:t>рейтинге</w:t>
            </w:r>
            <w:proofErr w:type="gramEnd"/>
            <w:r>
              <w:t xml:space="preserve"> QS «</w:t>
            </w:r>
            <w:proofErr w:type="spellStart"/>
            <w:r>
              <w:t>Physics</w:t>
            </w:r>
            <w:proofErr w:type="spellEnd"/>
            <w:r>
              <w:t xml:space="preserve"> &amp; </w:t>
            </w:r>
            <w:proofErr w:type="spellStart"/>
            <w:r>
              <w:t>Astronomy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lastRenderedPageBreak/>
              <w:t>301-350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251-300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201-250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151-200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101-150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  <w:jc w:val="center"/>
            </w:pPr>
            <w:r>
              <w:t>151-100</w:t>
            </w: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5.1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Разработка и модернизация ООП </w:t>
            </w:r>
            <w:proofErr w:type="gramStart"/>
            <w:r>
              <w:t>магистерских</w:t>
            </w:r>
            <w:proofErr w:type="gramEnd"/>
            <w:r>
              <w:t xml:space="preserve">  и аспирантских программ по научным направлениям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 10 ООП </w:t>
            </w:r>
            <w:proofErr w:type="gramStart"/>
            <w:r>
              <w:t>магистерских</w:t>
            </w:r>
            <w:proofErr w:type="gramEnd"/>
            <w:r>
              <w:t xml:space="preserve"> и аспирантских / </w:t>
            </w:r>
            <w:proofErr w:type="spellStart"/>
            <w:r>
              <w:t>PhD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Приказы об открытии и/или модернизации  10 ООП </w:t>
            </w:r>
            <w:proofErr w:type="gramStart"/>
            <w:r>
              <w:t>магистерских</w:t>
            </w:r>
            <w:proofErr w:type="gramEnd"/>
            <w:r>
              <w:t xml:space="preserve"> и аспирантских / </w:t>
            </w:r>
            <w:proofErr w:type="spellStart"/>
            <w:r>
              <w:t>PhD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proofErr w:type="spellStart"/>
            <w:r>
              <w:t>Слижов</w:t>
            </w:r>
            <w:proofErr w:type="spellEnd"/>
            <w:r>
              <w:t xml:space="preserve"> Ю.Г.; Шрагер Э.Р.; Коротаев А.Г.; Чайковская О.Н.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1.1.4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5.2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Проведение международных научно-образовательных школ-конференций и научных конференций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Декабрь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проведении научно-образовательных школ-конференций и научных конференций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Приказы о проведении научно-образовательных школ-конференций и научных конференций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proofErr w:type="spellStart"/>
            <w:r>
              <w:t>Слижов</w:t>
            </w:r>
            <w:proofErr w:type="spellEnd"/>
            <w:r>
              <w:t xml:space="preserve"> Ю.Г.; Шрагер Э.Р.; Коротаев А.Г.; Чайковская О.Н. </w:t>
            </w:r>
            <w:proofErr w:type="spellStart"/>
            <w:r>
              <w:t>Курзина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4.1.10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5.3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Привлечение ведущих зарубежных и отечественных специалистов мирового класса, сотрудников инновацион</w:t>
            </w:r>
            <w:r>
              <w:lastRenderedPageBreak/>
              <w:t>ных глобально-ориентированных партнеров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Октябрь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Октябрь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Увеличение количества ведущих зарубежных и отечественных специалистов мирового класса, сотрудников инновационных глобально-</w:t>
            </w:r>
            <w:r>
              <w:lastRenderedPageBreak/>
              <w:t>ориентированных партнеров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Увеличение количества ведущих зарубежных и отечественных специалистов мирового класса, сотрудников инновационных глобально-</w:t>
            </w:r>
            <w:r>
              <w:lastRenderedPageBreak/>
              <w:t>ориентированных партнеров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 xml:space="preserve">Ивонин И.В., </w:t>
            </w:r>
            <w:proofErr w:type="spellStart"/>
            <w:r>
              <w:t>Курзина</w:t>
            </w:r>
            <w:proofErr w:type="spellEnd"/>
            <w:r>
              <w:t xml:space="preserve"> И. А.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2.2.1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5.4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Формирование программ научных исследований в </w:t>
            </w:r>
            <w:proofErr w:type="gramStart"/>
            <w:r>
              <w:t>рамках</w:t>
            </w:r>
            <w:proofErr w:type="gramEnd"/>
            <w:r>
              <w:t xml:space="preserve"> деятельности САЕ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Сентябрь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Утвержденный план реализации Формирование программ научных исследований в рамках деятельности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Утвержденный план реализации Формирование программ научных исследований в рамках деятельности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Ивонин И.В., Войцеховский А.В., Кузнецов В.М., </w:t>
            </w:r>
            <w:proofErr w:type="spellStart"/>
            <w:r>
              <w:t>Курзина</w:t>
            </w:r>
            <w:proofErr w:type="spellEnd"/>
            <w:r>
              <w:t xml:space="preserve"> И.А., </w:t>
            </w:r>
            <w:proofErr w:type="spellStart"/>
            <w:r>
              <w:t>Козик</w:t>
            </w:r>
            <w:proofErr w:type="spellEnd"/>
            <w:r>
              <w:t xml:space="preserve"> В.В., Кульков С.Н., Ворожцов А.Б., Ищенко А.Н., </w:t>
            </w:r>
            <w:proofErr w:type="spellStart"/>
            <w:r>
              <w:t>Скрипняк</w:t>
            </w:r>
            <w:proofErr w:type="spellEnd"/>
            <w:r>
              <w:t xml:space="preserve"> В.А., </w:t>
            </w:r>
            <w:proofErr w:type="spellStart"/>
            <w:r>
              <w:t>Чумляков</w:t>
            </w:r>
            <w:proofErr w:type="spellEnd"/>
            <w:r>
              <w:t xml:space="preserve"> Ю.И.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М 4.1.1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  <w:tr w:rsidR="00B1727D" w:rsidTr="005A5248"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>5.5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Участие/лидерство в крупных международных сетевых </w:t>
            </w:r>
            <w:proofErr w:type="gramStart"/>
            <w:r>
              <w:t>проектах</w:t>
            </w:r>
            <w:proofErr w:type="gramEnd"/>
            <w:r>
              <w:t>, научных сообществах и коллаборациях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>
              <w:t>коллабораций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>
              <w:t>коллабораций</w:t>
            </w:r>
            <w:proofErr w:type="spellEnd"/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t xml:space="preserve">Ивонин И.В., Войцеховский А.В., Кузнецов В.М., </w:t>
            </w:r>
            <w:proofErr w:type="spellStart"/>
            <w:r>
              <w:t>Курзина</w:t>
            </w:r>
            <w:proofErr w:type="spellEnd"/>
            <w:r>
              <w:t xml:space="preserve"> И.А., </w:t>
            </w:r>
            <w:proofErr w:type="spellStart"/>
            <w:r>
              <w:t>Козик</w:t>
            </w:r>
            <w:proofErr w:type="spellEnd"/>
            <w:r>
              <w:t xml:space="preserve"> В.В., Кульков С.Н., </w:t>
            </w:r>
            <w:r>
              <w:lastRenderedPageBreak/>
              <w:t xml:space="preserve">Ворожцов А.Б., Ищенко А.Н., </w:t>
            </w:r>
            <w:proofErr w:type="spellStart"/>
            <w:r>
              <w:t>Скрипняк</w:t>
            </w:r>
            <w:proofErr w:type="spellEnd"/>
            <w:r>
              <w:t xml:space="preserve"> В.А., </w:t>
            </w:r>
            <w:proofErr w:type="spellStart"/>
            <w:r>
              <w:t>Чумляков</w:t>
            </w:r>
            <w:proofErr w:type="spellEnd"/>
            <w:r>
              <w:t xml:space="preserve"> Ю.И.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  <w:r>
              <w:lastRenderedPageBreak/>
              <w:t>М 4.1.7</w:t>
            </w:r>
          </w:p>
        </w:tc>
        <w:tc>
          <w:tcPr>
            <w:tcW w:w="0" w:type="auto"/>
          </w:tcPr>
          <w:p w:rsidR="00B1727D" w:rsidRDefault="00B1727D" w:rsidP="005A5248">
            <w:pPr>
              <w:spacing w:after="0"/>
            </w:pPr>
          </w:p>
        </w:tc>
      </w:tr>
    </w:tbl>
    <w:p w:rsidR="00ED1C56" w:rsidRDefault="00B1727D">
      <w:bookmarkStart w:id="0" w:name="_GoBack"/>
      <w:bookmarkEnd w:id="0"/>
    </w:p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D"/>
    <w:rsid w:val="00300350"/>
    <w:rsid w:val="006B4087"/>
    <w:rsid w:val="00B1727D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D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D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2939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2018-10-17T12:02:00Z</dcterms:created>
  <dcterms:modified xsi:type="dcterms:W3CDTF">2018-10-17T12:03:00Z</dcterms:modified>
</cp:coreProperties>
</file>